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a86b" w14:textId="9cea86b">
      <w:pPr>
        <w:pStyle w:val="TitleStyle"/>
        <w15:collapsed w:val="false"/>
      </w:pPr>
      <w:r>
        <w:t>Zmiana rozporządzenia w sprawie sposobu przeprowadzania konkursu na niektóre stanowiska kierownicze w podmiocie leczniczym niebędącym przedsiębiorcą.</w:t>
      </w:r>
    </w:p>
    <w:p>
      <w:pPr>
        <w:pStyle w:val="NormalStyle"/>
      </w:pPr>
      <w:r>
        <w:t>Dz.U.2016.1957 z dnia 2016.12.05</w:t>
      </w:r>
    </w:p>
    <w:p>
      <w:pPr>
        <w:pStyle w:val="NormalStyle"/>
      </w:pPr>
      <w:r>
        <w:t>Status: Akt jednorazowy </w:t>
      </w:r>
    </w:p>
    <w:p>
      <w:pPr>
        <w:pStyle w:val="NormalStyle"/>
      </w:pPr>
      <w:r>
        <w:t>Wersja od: 5 grudnia 2016 r. </w:t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36"/>
          <w:lang w:val="pl-Pl"/>
        </w:rPr>
        <w:t>ROZPORZĄDZENIE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36"/>
          <w:lang w:val="pl-Pl"/>
        </w:rPr>
        <w:t xml:space="preserve">MINISTRA ZDROWIA </w:t>
      </w:r>
      <w:r>
        <w:rPr>
          <w:rFonts w:ascii="Times New Roman"/>
          <w:b/>
          <w:i w:val="false"/>
          <w:color w:val="000000"/>
          <w:sz w:val="20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36"/>
          <w:lang w:val="pl-Pl"/>
        </w:rPr>
        <w:t xml:space="preserve"> 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30"/>
          <w:lang w:val="pl-Pl"/>
        </w:rPr>
        <w:t>z dnia 21 listopada 2016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30"/>
          <w:lang w:val="pl-Pl"/>
        </w:rPr>
        <w:t>zmieniające rozporządzenie w sprawie sposobu przeprowadzania konkursu na niektóre stanowiska kierownicze w podmiocie leczniczym niebędącym przedsiębiorcą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49 ust. 8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15 kwietnia 2011 r. o działalności leczniczej (Dz. U. z 2016 r. poz. 1638 i 1948) zarządza się, co następuje: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rozporządzeniu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Ministra Zdrowia z dnia 6 lutego 2012 r. w sprawie sposobu przeprowadzania konkursu na niektóre stanowiska kierownicze w podmiocie leczniczym niebędącym przedsiębiorcą (Dz. U. poz. 182) wprowadza się następujące zmiany: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ust. 2 otrzymuje brzmienie: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"2. W przypadku ujawnienia po powołaniu komisji konkursowej okoliczności, o których mowa w ust. 1, lub w przypadku gdy o stanowisko zastępcy kierownika podmiotu leczniczego lub ordynatora ubiega się kierownik tego podmiotu lub jego zastępca, właściwy podmiot dokonuje w jej składzie odpowiedniej zmiany; komisja konkursowa w nowym składzie może uznać za ważne czynności dokonane przez komisję konkursową działającą w składzie poprzednim.";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7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ust. 2 otrzymuje brzmienie: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"2. Przewodniczący komisji konkursowej powiadamia pisemnie członków komisji o posiedzeniu komisji konkursowej co najmniej na 7 dni przed wyznaczonym terminem posiedzenia.";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8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ust. 2 i 3 otrzymują brzmienie: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"2. Stwierdzenie nieważności postępowania konkursowego następuje wyłącznie na wniosek, który zgłasza się do właściwego podmiotu nie później niż w terminie 14 dni od dnia wybrania przez komisję konkursową kandydata na stanowisko objęte konkursem.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W przypadku stwierdzenia nieważności postępowania konkursowego komisja konkursowa ulega rozwiązaniu, a właściwy podmiot powołuje nową komisję konkursową. Ponowne wszczęcie postępowania konkursowego następuje w terminie 2 miesięcy od dnia stwierdzenia nieważności postępowania konkursowego.";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ust. 1 pkt 5 i 6 otrzymują brzmienie: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"5) miejsce oraz termin złożenia wymaganych od kandydatów dokumentów, nie krótszy niż 10 dni od dnia opublikowania ogłoszenia;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6) przewidywane miejsce oraz termin rozpatrzenia zgłoszonych kandydatur.",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ust. 3 pkt 1 otrzymuje brzmienie: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"1) udostępnić na stronie podmiotowej Biuletynu Informacji Publicznej podmiotu tworzącego;";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10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pkt 1 lit. a otrzymuje brzmienie: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"a) od trzech do sześciu przedstawicieli podmiotu tworzącego, posiadających wykształcenie wyższe, w tym przynajmniej jeden lekarz; podmiot tworzący wskazuje spośród przedstawicieli przewodniczącego komisji,",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pkt 2: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–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lit. a i b otrzymują brzmienie: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"a) od trzech do sześciu przedstawicieli kierownika podmiotu leczniczego; kierownik podmiotu leczniczego wskazuje spośród przedstawicieli przewodniczącego komisji, a jeżeli o stanowisko zastępcy kierownika ubiega się kierownik tego podmiotu lub jego zastępca - od trzech do sześciu przedstawicieli podmiotu tworzącego, spośród których podmiot tworzący wskazuje przewodniczącego komisji - w takim przypadku nie powołuje się w skład komisji przedstawiciela podmiotu tworzącego, o którym mowa w lit. g; kierownik podmiotu leczniczego oraz podmiot tworzący wskazują swoich przedstawicieli spośród osób posiadających wykształcenie wyższe, a przynajmniej jeden z przedstawicieli musi być lekarzem,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b) przedstawiciel okręgowej rady lekarskiej właściwej ze względu na siedzibę podmiotu leczniczego, a jeżeli postępowanie konkursowe jest realizowane w podmiocie leczniczym, w którym są zatrudnieni członkowie Wojskowej Izby Lekarskiej, również przedstawiciel tej izby; w przypadku gdy postępowanie konkursowe jest realizowane w podmiocie leczniczym utworzonym przez Ministra Obrony Narodowej - przedstawiciel Wojskowej Izby Lekarskiej,",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–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 lit. f średnik zastępuje się przecinkiem i dodaje się lit. g w brzmieniu: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"g) przedstawiciel podmiotu tworzącego;",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pkt 3 lit. b otrzymuje brzmienie: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"b) od trzech do sześciu przedstawicieli kierownika podmiotu leczniczego, a w przypadku gdy o stanowisko ordynatora ubiega się kierownik tego podmiotu lub jego zastępca do spraw lecznictwa - od trzech do sześciu przedstawicieli podmiotu tworzącego - w takim przypadku nie powołuje się w skład komisji przedstawiciela podmiotu tworzącego, o którym mowa w lit. e; kierownik podmiotu leczniczego oraz podmiot tworzący wskazują swoich przedstawicieli spośród osób posiadających wykształcenie wyższe, a przynajmniej jeden z przedstawicieli musi być lekarzem,",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pkt 4 lit. b otrzymuje brzmienie: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"b) od trzech do sześciu przedstawicieli kierownika podmiotu leczniczego, posiadających wykształcenie wyższe, w tym przynajmniej jeden lekarz,",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e)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pkt 5 lit. b otrzymuje brzmienie: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"b) od trzech do sześciu przedstawicieli kierownika podmiotu leczniczego, posiadających wykształcenie wyższe, w tym przynajmniej jeden lekarz,";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 ust. 1: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pkt 5 i 6 otrzymują brzmienie: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"5) kopie dokumentów, o których mowa w pkt 4, powinny być poświadczone za zgodność z oryginałem, przy czym poświadczenie może być dokonane przez kandydata; na prośbę właściwego podmiotu lub komisji konkursowej kandydat jest obowiązany przedstawić oryginały dokumentów;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6) w przypadku postępowania konkursowego na stanowisko kierownika - informację o kandydacie z Krajowego Rejestru Karnego opatrzoną datą nie wcześniejszą niż miesiąc przed dniem zgłoszenia do konkursu;",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 pkt 6 dodaje się pkt 7 w brzmieniu:</w:t>
      </w:r>
    </w:p>
    <w:p>
      <w:pPr>
        <w:spacing w:before="25" w:after="0"/>
        <w:ind w:left="746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"7) oświadczenie kandydata o braku prawomocnie orzeczonego wobec niego zakazu wykonywania zawodu, zawieszenia prawa wykonywania zawodu, ograniczenia prawa wykonywania zawodu lub zakazu zajmowania określonego stanowiska.";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otrzymuje brzmienie: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"§ 16. Komisja konkursowa ulega rozwiązaniu z dniem nawiązania stosunku pracy albo zawarcia umowy cywilnoprawnej z kandydatem wybranym w drodze konkursu albo z osobą, o której mowa w art. 49 ust. 4 ustawy, albo z dniem stwierdzenia nieważności postępowania konkursowego, o którym mowa w § 8 ust. 2.";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8) 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załączniku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do rozporządzenia w § 3 ust. 2 otrzymuje brzmienie:</w:t>
      </w:r>
    </w:p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"2. Głosowanie w sprawie wyboru kandydata jest dokonywane na jednakowych kartach do głosowania, ostemplowanych pieczęcią właściwego podmiotu, zawierających nazwiska kandydatów w kolejności alfabetycznej.".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postępowania konkursowego wszczętego i niezakończonego przed dniem wejścia w życie niniejszego rozporządzenia stosuje się przepisy dotychczasowe.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Rozporządzenie wchodzi w życie po upływie 14 dni od dnia ogłoszenia.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0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Minister Zdrowia kieruje działem administracji rządowej - zdrowie,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ust.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Prezesa Rady Ministrów z dnia 17 listopada 2015 r. w sprawie szczegółowego zakresu działania Ministra Zdrowia (Dz. U. poz. 1908).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jc w:val="center"/>
    </w:pPr>
    <w:rPr>
      <w:rFonts w:ascii="Times New Roman" w:hAnsi="Times New Roman" w:eastAsia="Times New Roman" w:cs="Times New Roman"/>
      <w:b/>
      <w:color w:val="000000" w:themeColor="text1"/>
      <w:sz w:val="42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32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32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DocDefaults">
    <w:name w:val="DocDefaults"/>
    <w:pPr>
      <w:spacing w:after="200" w:line="276" w:lineRule="auto"/>
    </w:pPr>
    <w:rPr>
      <w:rFonts w:ascii="Times New Roman" w:hAnsi="Times New Roman" w:eastAsia="Times New Roman" w:cs="Times New Roman" w:asciiTheme="minorHAnsi" w:hAnsiTheme="minorHAnsi" w:eastAsiaTheme="minorHAnsi" w:cstheme="minorBidi"/>
      <w:sz w:val="24"/>
      <w:szCs w:val="22"/>
      <w:lang w:val="pl-Pl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